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宋体" w:eastAsia="仿宋_GB2312"/>
          <w:b/>
          <w:bCs/>
          <w:sz w:val="28"/>
          <w:szCs w:val="28"/>
        </w:rPr>
      </w:pPr>
      <w:r>
        <w:rPr>
          <w:rFonts w:hint="eastAsia" w:ascii="仿宋_GB2312" w:hAnsi="宋体" w:eastAsia="仿宋_GB2312"/>
          <w:b/>
          <w:bCs/>
          <w:sz w:val="28"/>
          <w:szCs w:val="28"/>
        </w:rPr>
        <w:t>附件</w:t>
      </w:r>
    </w:p>
    <w:p>
      <w:pPr>
        <w:jc w:val="center"/>
        <w:rPr>
          <w:rFonts w:ascii="黑体" w:hAnsi="黑体" w:eastAsia="黑体"/>
          <w:b/>
          <w:bCs/>
          <w:sz w:val="44"/>
          <w:szCs w:val="44"/>
        </w:rPr>
      </w:pPr>
      <w:r>
        <w:rPr>
          <w:rFonts w:hint="eastAsia" w:ascii="黑体" w:hAnsi="黑体" w:eastAsia="黑体"/>
          <w:b/>
          <w:bCs/>
          <w:sz w:val="44"/>
          <w:szCs w:val="44"/>
        </w:rPr>
        <w:t>课程简介</w:t>
      </w:r>
    </w:p>
    <w:p>
      <w:pPr>
        <w:jc w:val="center"/>
        <w:rPr>
          <w:rFonts w:ascii="黑体" w:hAnsi="黑体" w:eastAsia="黑体"/>
          <w:b/>
          <w:bCs/>
          <w:sz w:val="44"/>
          <w:szCs w:val="44"/>
        </w:rPr>
      </w:pPr>
    </w:p>
    <w:p>
      <w:pPr>
        <w:jc w:val="center"/>
      </w:pPr>
      <w:r>
        <w:rPr>
          <w:rFonts w:hint="eastAsia" w:ascii="黑体" w:hAnsi="黑体" w:eastAsia="黑体" w:cs="宋体"/>
          <w:b/>
          <w:bCs/>
          <w:kern w:val="0"/>
          <w:sz w:val="32"/>
          <w:szCs w:val="36"/>
        </w:rPr>
        <w:t>《看案例 学法规 (</w:t>
      </w:r>
      <w:r>
        <w:rPr>
          <w:rFonts w:ascii="黑体" w:hAnsi="黑体" w:eastAsia="黑体" w:cs="宋体"/>
          <w:b/>
          <w:bCs/>
          <w:kern w:val="0"/>
          <w:sz w:val="32"/>
          <w:szCs w:val="36"/>
        </w:rPr>
        <w:t>202</w:t>
      </w:r>
      <w:r>
        <w:rPr>
          <w:rFonts w:hint="eastAsia" w:ascii="黑体" w:hAnsi="黑体" w:eastAsia="黑体" w:cs="宋体"/>
          <w:b/>
          <w:bCs/>
          <w:kern w:val="0"/>
          <w:sz w:val="32"/>
          <w:szCs w:val="36"/>
        </w:rPr>
        <w:t>4年第1期)——存量房交易资金托管》</w:t>
      </w:r>
    </w:p>
    <w:p>
      <w:pPr>
        <w:jc w:val="center"/>
        <w:rPr>
          <w:rFonts w:ascii="黑体" w:hAnsi="黑体" w:eastAsia="黑体" w:cs="宋体"/>
          <w:b/>
          <w:bCs/>
          <w:kern w:val="0"/>
          <w:sz w:val="32"/>
          <w:szCs w:val="36"/>
        </w:rPr>
      </w:pPr>
      <w:r>
        <w:rPr>
          <w:rFonts w:hint="eastAsia" w:ascii="黑体" w:hAnsi="黑体" w:eastAsia="黑体" w:cs="宋体"/>
          <w:b/>
          <w:bCs/>
          <w:kern w:val="0"/>
          <w:sz w:val="32"/>
          <w:szCs w:val="36"/>
        </w:rPr>
        <w:t>(视频课程)</w:t>
      </w:r>
    </w:p>
    <w:p>
      <w:pPr>
        <w:jc w:val="center"/>
        <w:rPr>
          <w:rFonts w:ascii="黑体" w:hAnsi="黑体" w:eastAsia="黑体" w:cs="宋体"/>
          <w:b/>
          <w:bCs/>
          <w:kern w:val="0"/>
          <w:sz w:val="32"/>
          <w:szCs w:val="36"/>
        </w:rPr>
      </w:pPr>
    </w:p>
    <w:p>
      <w:pPr>
        <w:ind w:firstLine="560" w:firstLineChars="200"/>
        <w:jc w:val="left"/>
        <w:rPr>
          <w:rFonts w:ascii="仿宋_GB2312" w:hAnsi="宋体" w:eastAsia="仿宋_GB2312"/>
          <w:sz w:val="28"/>
          <w:szCs w:val="28"/>
          <w:lang w:bidi="ar"/>
        </w:rPr>
      </w:pPr>
      <w:r>
        <w:rPr>
          <w:rFonts w:hint="eastAsia" w:ascii="仿宋_GB2312" w:hAnsi="宋体" w:eastAsia="仿宋_GB2312"/>
          <w:sz w:val="28"/>
          <w:szCs w:val="28"/>
          <w:lang w:bidi="ar"/>
        </w:rPr>
        <w:t>《看案例 学法规》系列课程，是以消费者投诉房地产中介在提供服务过程中存在违法违规行为的案件为原型改编而成。</w:t>
      </w:r>
    </w:p>
    <w:p>
      <w:pPr>
        <w:ind w:firstLine="560" w:firstLineChars="200"/>
        <w:jc w:val="left"/>
        <w:rPr>
          <w:rFonts w:ascii="仿宋_GB2312" w:hAnsi="宋体" w:eastAsia="仿宋_GB2312"/>
          <w:sz w:val="28"/>
          <w:szCs w:val="28"/>
          <w:lang w:bidi="ar"/>
        </w:rPr>
      </w:pPr>
      <w:r>
        <w:rPr>
          <w:rFonts w:hint="eastAsia" w:ascii="仿宋_GB2312" w:hAnsi="宋体" w:eastAsia="仿宋_GB2312"/>
          <w:sz w:val="28"/>
          <w:szCs w:val="28"/>
          <w:lang w:bidi="ar"/>
        </w:rPr>
        <w:t>本课程通过案例分析解读相关政策法规，以期广大会员同行在为消费者提供中介服务时，诚信执业、规范操作，避免不必要的交易纠纷和行政处罚风险。</w:t>
      </w:r>
    </w:p>
    <w:p>
      <w:pPr>
        <w:jc w:val="center"/>
        <w:rPr>
          <w:rFonts w:ascii="仿宋_GB2312" w:eastAsia="仿宋_GB2312"/>
          <w:sz w:val="28"/>
          <w:szCs w:val="28"/>
        </w:rPr>
      </w:pPr>
      <w:r>
        <w:drawing>
          <wp:inline distT="0" distB="0" distL="0" distR="0">
            <wp:extent cx="4552950" cy="1676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4552950" cy="1676400"/>
                    </a:xfrm>
                    <a:prstGeom prst="rect">
                      <a:avLst/>
                    </a:prstGeom>
                  </pic:spPr>
                </pic:pic>
              </a:graphicData>
            </a:graphic>
          </wp:inline>
        </w:drawing>
      </w:r>
      <w:r>
        <w:t xml:space="preserve"> </w:t>
      </w:r>
    </w:p>
    <w:p>
      <w:pPr>
        <w:jc w:val="left"/>
        <w:rPr>
          <w:rFonts w:ascii="仿宋_GB2312" w:hAnsi="宋体" w:eastAsia="仿宋_GB2312"/>
          <w:sz w:val="28"/>
          <w:szCs w:val="28"/>
          <w:lang w:bidi="ar"/>
        </w:rPr>
      </w:pPr>
      <w:r>
        <w:rPr>
          <w:rFonts w:hint="eastAsia" w:ascii="仿宋_GB2312" w:hAnsi="宋体" w:eastAsia="仿宋_GB2312"/>
          <w:b/>
          <w:sz w:val="28"/>
          <w:szCs w:val="28"/>
          <w:lang w:bidi="ar"/>
        </w:rPr>
        <w:t>讲师简介：</w:t>
      </w:r>
      <w:r>
        <w:rPr>
          <w:rFonts w:hint="eastAsia" w:ascii="仿宋_GB2312" w:hAnsi="宋体" w:eastAsia="仿宋_GB2312"/>
          <w:sz w:val="28"/>
          <w:szCs w:val="28"/>
          <w:lang w:bidi="ar"/>
        </w:rPr>
        <w:t>林嘉敏，现任职广州市房地产中介协会行业自律部副部长，负责处理二手房交易纠纷，熟悉房地产交易流程及相关法律法规。</w:t>
      </w:r>
    </w:p>
    <w:p>
      <w:pPr>
        <w:jc w:val="center"/>
        <w:rPr>
          <w:rFonts w:hAnsi="宋体"/>
          <w:lang w:bidi="ar"/>
        </w:rPr>
      </w:pPr>
      <w:r>
        <w:rPr>
          <w:rFonts w:ascii="仿宋_GB2312" w:hAnsi="宋体" w:eastAsia="仿宋_GB2312"/>
          <w:sz w:val="28"/>
          <w:szCs w:val="28"/>
          <w:lang w:bidi="ar"/>
        </w:rPr>
        <w:br w:type="page"/>
      </w:r>
      <w:r>
        <w:rPr>
          <w:rFonts w:hint="eastAsia" w:ascii="黑体" w:hAnsi="黑体" w:eastAsia="黑体" w:cs="宋体"/>
          <w:b/>
          <w:bCs/>
          <w:kern w:val="0"/>
          <w:sz w:val="32"/>
          <w:szCs w:val="36"/>
        </w:rPr>
        <w:t>《广州市不动产登记资料查询办法》</w:t>
      </w:r>
    </w:p>
    <w:p>
      <w:pPr>
        <w:jc w:val="center"/>
        <w:rPr>
          <w:rFonts w:ascii="黑体" w:hAnsi="黑体" w:eastAsia="黑体" w:cs="宋体"/>
          <w:b/>
          <w:bCs/>
          <w:kern w:val="0"/>
          <w:sz w:val="32"/>
          <w:szCs w:val="36"/>
        </w:rPr>
      </w:pPr>
      <w:r>
        <w:rPr>
          <w:rFonts w:hint="eastAsia" w:ascii="黑体" w:hAnsi="黑体" w:eastAsia="黑体" w:cs="宋体"/>
          <w:b/>
          <w:bCs/>
          <w:kern w:val="0"/>
          <w:sz w:val="32"/>
          <w:szCs w:val="36"/>
        </w:rPr>
        <w:t>(电子书课程)</w:t>
      </w:r>
    </w:p>
    <w:p>
      <w:pPr>
        <w:jc w:val="left"/>
        <w:rPr>
          <w:rFonts w:ascii="黑体" w:hAnsi="黑体" w:eastAsia="黑体" w:cs="宋体"/>
          <w:b/>
          <w:bCs/>
          <w:kern w:val="0"/>
          <w:sz w:val="32"/>
          <w:szCs w:val="36"/>
        </w:rPr>
      </w:pPr>
    </w:p>
    <w:p>
      <w:pPr>
        <w:ind w:firstLine="560" w:firstLineChars="200"/>
        <w:jc w:val="left"/>
        <w:rPr>
          <w:rFonts w:ascii="仿宋_GB2312" w:eastAsia="仿宋_GB2312"/>
          <w:sz w:val="28"/>
          <w:szCs w:val="28"/>
        </w:rPr>
      </w:pPr>
      <w:r>
        <w:rPr>
          <w:rFonts w:hint="eastAsia" w:ascii="仿宋_GB2312" w:eastAsia="仿宋_GB2312"/>
          <w:sz w:val="28"/>
          <w:szCs w:val="28"/>
        </w:rPr>
        <w:t>《广州市不动产登记资料查询办法》(以下简称《查询办法》)于2024年2月7日发布实施。《查询办法》共29条，结合我市实际，分别从职能分工、场地设置、信息化要求、不同申请主体查询复制不动产登记资料、查询结果等方面对我市登记资料查询业务开展进行了规范，旨在进一步维护不动产交易安全和保护不动产权利人的合法权益。</w:t>
      </w:r>
    </w:p>
    <w:p>
      <w:pPr>
        <w:jc w:val="center"/>
      </w:pPr>
      <w:r>
        <w:drawing>
          <wp:inline distT="0" distB="0" distL="0" distR="0">
            <wp:extent cx="4591050" cy="168592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a:stretch>
                      <a:fillRect/>
                    </a:stretch>
                  </pic:blipFill>
                  <pic:spPr>
                    <a:xfrm>
                      <a:off x="0" y="0"/>
                      <a:ext cx="4591050" cy="1685925"/>
                    </a:xfrm>
                    <a:prstGeom prst="rect">
                      <a:avLst/>
                    </a:prstGeom>
                  </pic:spPr>
                </pic:pic>
              </a:graphicData>
            </a:graphic>
          </wp:inline>
        </w:drawing>
      </w:r>
    </w:p>
    <w:p>
      <w:pPr>
        <w:jc w:val="center"/>
      </w:pPr>
    </w:p>
    <w:p>
      <w:bookmarkStart w:id="0" w:name="_GoBack"/>
      <w:bookmarkEnd w:id="0"/>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YWMzNmU4NDA5YWYyZTRlM2Y4MjgxNGU3MjY4NDkifQ=="/>
  </w:docVars>
  <w:rsids>
    <w:rsidRoot w:val="683C6EA1"/>
    <w:rsid w:val="683C6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2024-02-27T09:19:00Z</dcterms:created>
  <dc:creator>garea</dc:creator>
  <cp:lastModifiedBy>garea</cp:lastModifiedBy>
  <dcterms:modified xsi:type="dcterms:W3CDTF">2024-02-27T09:20:01Z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3621FE2221444DB5845CCCF9C48F90FE_11</vt:lpwstr>
  </property>
</Properties>
</file>