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宋体" w:eastAsia="仿宋_GB2312"/>
          <w:b/>
          <w:bCs/>
          <w:sz w:val="28"/>
          <w:szCs w:val="28"/>
        </w:rPr>
      </w:pPr>
      <w:r>
        <w:rPr>
          <w:rFonts w:hint="eastAsia" w:ascii="仿宋_GB2312" w:hAnsi="宋体" w:eastAsia="仿宋_GB2312"/>
          <w:b/>
          <w:bCs/>
          <w:sz w:val="28"/>
          <w:szCs w:val="28"/>
        </w:rPr>
        <w:t>附件</w:t>
      </w:r>
    </w:p>
    <w:p>
      <w:pPr>
        <w:jc w:val="center"/>
        <w:rPr>
          <w:rFonts w:ascii="黑体" w:hAnsi="黑体" w:eastAsia="黑体"/>
          <w:b/>
          <w:bCs/>
          <w:sz w:val="44"/>
          <w:szCs w:val="44"/>
        </w:rPr>
      </w:pPr>
      <w:r>
        <w:rPr>
          <w:rFonts w:hint="eastAsia" w:ascii="黑体" w:hAnsi="黑体" w:eastAsia="黑体"/>
          <w:b/>
          <w:bCs/>
          <w:sz w:val="44"/>
          <w:szCs w:val="44"/>
        </w:rPr>
        <w:t>课程简介</w:t>
      </w:r>
    </w:p>
    <w:p>
      <w:pPr>
        <w:jc w:val="center"/>
        <w:rPr>
          <w:rFonts w:ascii="黑体" w:hAnsi="黑体" w:eastAsia="黑体"/>
          <w:b/>
          <w:bCs/>
          <w:sz w:val="44"/>
          <w:szCs w:val="44"/>
        </w:rPr>
      </w:pPr>
    </w:p>
    <w:p>
      <w:pPr>
        <w:jc w:val="center"/>
      </w:pPr>
      <w:r>
        <w:rPr>
          <w:rFonts w:hint="eastAsia" w:ascii="黑体" w:hAnsi="黑体" w:eastAsia="黑体" w:cs="宋体"/>
          <w:b/>
          <w:bCs/>
          <w:kern w:val="0"/>
          <w:sz w:val="32"/>
          <w:szCs w:val="36"/>
        </w:rPr>
        <w:t>《看案例 学法规 (</w:t>
      </w:r>
      <w:r>
        <w:rPr>
          <w:rFonts w:ascii="黑体" w:hAnsi="黑体" w:eastAsia="黑体" w:cs="宋体"/>
          <w:b/>
          <w:bCs/>
          <w:kern w:val="0"/>
          <w:sz w:val="32"/>
          <w:szCs w:val="36"/>
        </w:rPr>
        <w:t>202</w:t>
      </w:r>
      <w:r>
        <w:rPr>
          <w:rFonts w:hint="eastAsia" w:ascii="黑体" w:hAnsi="黑体" w:eastAsia="黑体" w:cs="宋体"/>
          <w:b/>
          <w:bCs/>
          <w:kern w:val="0"/>
          <w:sz w:val="32"/>
          <w:szCs w:val="36"/>
        </w:rPr>
        <w:t>4年第</w:t>
      </w:r>
      <w:r>
        <w:rPr>
          <w:rFonts w:ascii="黑体" w:hAnsi="黑体" w:eastAsia="黑体" w:cs="宋体"/>
          <w:b/>
          <w:bCs/>
          <w:kern w:val="0"/>
          <w:sz w:val="32"/>
          <w:szCs w:val="36"/>
        </w:rPr>
        <w:t>4</w:t>
      </w:r>
      <w:r>
        <w:rPr>
          <w:rFonts w:hint="eastAsia" w:ascii="黑体" w:hAnsi="黑体" w:eastAsia="黑体" w:cs="宋体"/>
          <w:b/>
          <w:bCs/>
          <w:kern w:val="0"/>
          <w:sz w:val="32"/>
          <w:szCs w:val="36"/>
        </w:rPr>
        <w:t>期)——垫资赎契》</w:t>
      </w:r>
    </w:p>
    <w:p>
      <w:pPr>
        <w:jc w:val="center"/>
        <w:rPr>
          <w:rFonts w:ascii="黑体" w:hAnsi="黑体" w:eastAsia="黑体" w:cs="宋体"/>
          <w:b/>
          <w:bCs/>
          <w:kern w:val="0"/>
          <w:sz w:val="32"/>
          <w:szCs w:val="36"/>
        </w:rPr>
      </w:pPr>
      <w:r>
        <w:rPr>
          <w:rFonts w:hint="eastAsia" w:ascii="黑体" w:hAnsi="黑体" w:eastAsia="黑体" w:cs="宋体"/>
          <w:b/>
          <w:bCs/>
          <w:kern w:val="0"/>
          <w:sz w:val="32"/>
          <w:szCs w:val="36"/>
        </w:rPr>
        <w:t>(视频课程)</w:t>
      </w:r>
    </w:p>
    <w:p>
      <w:pPr>
        <w:jc w:val="center"/>
        <w:rPr>
          <w:rFonts w:ascii="黑体" w:hAnsi="黑体" w:eastAsia="黑体" w:cs="宋体"/>
          <w:b/>
          <w:bCs/>
          <w:kern w:val="0"/>
          <w:sz w:val="32"/>
          <w:szCs w:val="36"/>
        </w:rPr>
      </w:pPr>
    </w:p>
    <w:p>
      <w:pPr>
        <w:ind w:firstLine="560" w:firstLineChars="200"/>
        <w:jc w:val="left"/>
        <w:rPr>
          <w:rFonts w:ascii="仿宋_GB2312" w:hAnsi="宋体" w:eastAsia="仿宋_GB2312"/>
          <w:sz w:val="28"/>
          <w:szCs w:val="28"/>
          <w:lang w:bidi="ar"/>
        </w:rPr>
      </w:pPr>
      <w:r>
        <w:rPr>
          <w:rFonts w:hint="eastAsia" w:ascii="仿宋_GB2312" w:hAnsi="宋体" w:eastAsia="仿宋_GB2312"/>
          <w:sz w:val="28"/>
          <w:szCs w:val="28"/>
          <w:lang w:bidi="ar"/>
        </w:rPr>
        <w:t>《看案例 学法规》系列课程，是以消费者投诉房地产中介在提供服务过程中存在违法违规行为的案件为原型改编而成。</w:t>
      </w:r>
    </w:p>
    <w:p>
      <w:pPr>
        <w:ind w:firstLine="560" w:firstLineChars="200"/>
        <w:jc w:val="left"/>
        <w:rPr>
          <w:rFonts w:ascii="仿宋_GB2312" w:hAnsi="宋体" w:eastAsia="仿宋_GB2312"/>
          <w:sz w:val="28"/>
          <w:szCs w:val="28"/>
          <w:lang w:bidi="ar"/>
        </w:rPr>
      </w:pPr>
      <w:r>
        <w:rPr>
          <w:rFonts w:hint="eastAsia" w:ascii="仿宋_GB2312" w:hAnsi="宋体" w:eastAsia="仿宋_GB2312"/>
          <w:sz w:val="28"/>
          <w:szCs w:val="28"/>
          <w:lang w:bidi="ar"/>
        </w:rPr>
        <w:t>本课程通过案例分析解读相关政策法规，以期广大会员同行在为消费者提供中介服务时，诚信执业、规范操作，避免不必要的交易纠纷和行政处罚风险。</w:t>
      </w:r>
    </w:p>
    <w:p>
      <w:pPr>
        <w:jc w:val="center"/>
        <w:rPr>
          <w:rFonts w:ascii="仿宋_GB2312" w:eastAsia="仿宋_GB2312"/>
          <w:sz w:val="28"/>
          <w:szCs w:val="28"/>
        </w:rPr>
      </w:pPr>
      <w:r>
        <w:drawing>
          <wp:inline distT="0" distB="0" distL="0" distR="0">
            <wp:extent cx="4591050" cy="17430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4591050" cy="1743075"/>
                    </a:xfrm>
                    <a:prstGeom prst="rect">
                      <a:avLst/>
                    </a:prstGeom>
                  </pic:spPr>
                </pic:pic>
              </a:graphicData>
            </a:graphic>
          </wp:inline>
        </w:drawing>
      </w:r>
      <w:r>
        <w:t xml:space="preserve"> </w:t>
      </w:r>
    </w:p>
    <w:p>
      <w:pPr>
        <w:jc w:val="left"/>
        <w:rPr>
          <w:rFonts w:ascii="仿宋_GB2312" w:hAnsi="宋体" w:eastAsia="仿宋_GB2312"/>
          <w:sz w:val="28"/>
          <w:szCs w:val="28"/>
          <w:lang w:bidi="ar"/>
        </w:rPr>
      </w:pPr>
      <w:r>
        <w:rPr>
          <w:rFonts w:hint="eastAsia" w:ascii="仿宋_GB2312" w:hAnsi="宋体" w:eastAsia="仿宋_GB2312"/>
          <w:b/>
          <w:sz w:val="28"/>
          <w:szCs w:val="28"/>
          <w:lang w:bidi="ar"/>
        </w:rPr>
        <w:t>讲师简介：</w:t>
      </w:r>
      <w:r>
        <w:rPr>
          <w:rFonts w:hint="eastAsia" w:ascii="仿宋_GB2312" w:hAnsi="宋体" w:eastAsia="仿宋_GB2312"/>
          <w:sz w:val="28"/>
          <w:szCs w:val="28"/>
          <w:lang w:bidi="ar"/>
        </w:rPr>
        <w:t>王俊轩，现任职广州市房地产中介协会行业自律部部长，负责协会法人治理、政策法规宣传、房屋交易纠纷协调、二手房案例分析等工作。</w:t>
      </w:r>
    </w:p>
    <w:p>
      <w:pPr>
        <w:jc w:val="center"/>
        <w:rPr>
          <w:rFonts w:ascii="黑体" w:hAnsi="黑体" w:eastAsia="黑体" w:cs="宋体"/>
          <w:b/>
          <w:bCs/>
          <w:kern w:val="0"/>
          <w:sz w:val="32"/>
          <w:szCs w:val="36"/>
        </w:rPr>
      </w:pPr>
      <w:r>
        <w:rPr>
          <w:rFonts w:ascii="仿宋_GB2312" w:hAnsi="宋体" w:eastAsia="仿宋_GB2312"/>
          <w:sz w:val="28"/>
          <w:szCs w:val="28"/>
          <w:lang w:bidi="ar"/>
        </w:rPr>
        <w:br w:type="page"/>
      </w:r>
      <w:r>
        <w:rPr>
          <w:rFonts w:hint="eastAsia" w:ascii="黑体" w:hAnsi="黑体" w:eastAsia="黑体" w:cs="宋体"/>
          <w:b/>
          <w:bCs/>
          <w:kern w:val="0"/>
          <w:sz w:val="32"/>
          <w:szCs w:val="36"/>
        </w:rPr>
        <w:t>《广州市住房租赁从业主体信用管理办法》</w:t>
      </w:r>
    </w:p>
    <w:p>
      <w:pPr>
        <w:jc w:val="center"/>
        <w:rPr>
          <w:rFonts w:ascii="黑体" w:hAnsi="黑体" w:eastAsia="黑体" w:cs="宋体"/>
          <w:b/>
          <w:bCs/>
          <w:kern w:val="0"/>
          <w:sz w:val="32"/>
          <w:szCs w:val="36"/>
        </w:rPr>
      </w:pPr>
      <w:r>
        <w:rPr>
          <w:rFonts w:hint="eastAsia" w:ascii="黑体" w:hAnsi="黑体" w:eastAsia="黑体" w:cs="宋体"/>
          <w:b/>
          <w:bCs/>
          <w:kern w:val="0"/>
          <w:sz w:val="32"/>
          <w:szCs w:val="36"/>
        </w:rPr>
        <w:t>(电子书课程)</w:t>
      </w:r>
    </w:p>
    <w:p>
      <w:pPr>
        <w:jc w:val="left"/>
        <w:rPr>
          <w:rFonts w:ascii="黑体" w:hAnsi="黑体" w:eastAsia="黑体" w:cs="宋体"/>
          <w:b/>
          <w:bCs/>
          <w:kern w:val="0"/>
          <w:sz w:val="32"/>
          <w:szCs w:val="36"/>
        </w:rPr>
      </w:pPr>
    </w:p>
    <w:p>
      <w:pPr>
        <w:ind w:firstLine="555"/>
        <w:jc w:val="left"/>
        <w:rPr>
          <w:rFonts w:ascii="仿宋_GB2312" w:eastAsia="仿宋_GB2312"/>
          <w:sz w:val="28"/>
          <w:szCs w:val="28"/>
        </w:rPr>
      </w:pPr>
      <w:r>
        <w:rPr>
          <w:rFonts w:hint="eastAsia" w:ascii="仿宋_GB2312" w:eastAsia="仿宋_GB2312"/>
          <w:sz w:val="28"/>
          <w:szCs w:val="28"/>
        </w:rPr>
        <w:t>为加快推进我市住房租赁行业信用体系建设，规范行业市场秩序，营造公平竞争、诚信守法市场环境，广州市住房和城乡建设局根据《广东省社会信用条例》《广州市房屋租赁管理规定》《广州市公共信用信息管理规定》等有关规定，结合本市实际，制定本办法。</w:t>
      </w:r>
    </w:p>
    <w:p>
      <w:r>
        <w:drawing>
          <wp:inline distT="0" distB="0" distL="0" distR="0">
            <wp:extent cx="4581525" cy="172402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4581525" cy="172402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YWMzNmU4NDA5YWYyZTRlM2Y4MjgxNGU3MjY4NDkifQ=="/>
  </w:docVars>
  <w:rsids>
    <w:rsidRoot w:val="4A551937"/>
    <w:rsid w:val="4A551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2024-06-04T01:40:00Z</dcterms:created>
  <dc:creator>garea</dc:creator>
  <cp:lastModifiedBy>garea</cp:lastModifiedBy>
  <dcterms:modified xsi:type="dcterms:W3CDTF">2024-06-04T01:40:20Z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22A22BC175834A1D8B8BE3F223E34095_11</vt:lpwstr>
  </property>
</Properties>
</file>