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b/>
          <w:bCs/>
          <w:sz w:val="28"/>
          <w:szCs w:val="28"/>
        </w:rPr>
      </w:pPr>
      <w:bookmarkStart w:id="0" w:name="_GoBack"/>
      <w:r>
        <w:rPr>
          <w:rFonts w:hint="eastAsia" w:ascii="仿宋_GB2312" w:hAnsi="宋体" w:eastAsia="仿宋_GB2312"/>
          <w:b/>
          <w:bCs/>
          <w:sz w:val="28"/>
          <w:szCs w:val="28"/>
        </w:rPr>
        <w:t>附件</w:t>
      </w:r>
    </w:p>
    <w:p>
      <w:pPr>
        <w:jc w:val="center"/>
        <w:rPr>
          <w:rFonts w:ascii="黑体" w:hAnsi="黑体" w:eastAsia="黑体"/>
          <w:b/>
          <w:bCs/>
          <w:sz w:val="44"/>
          <w:szCs w:val="44"/>
        </w:rPr>
      </w:pPr>
      <w:r>
        <w:rPr>
          <w:rFonts w:hint="eastAsia" w:ascii="黑体" w:hAnsi="黑体" w:eastAsia="黑体"/>
          <w:b/>
          <w:bCs/>
          <w:sz w:val="44"/>
          <w:szCs w:val="44"/>
        </w:rPr>
        <w:t>课程简介</w:t>
      </w:r>
    </w:p>
    <w:bookmarkEnd w:id="0"/>
    <w:p>
      <w:pPr>
        <w:jc w:val="center"/>
        <w:rPr>
          <w:rFonts w:ascii="黑体" w:hAnsi="黑体" w:eastAsia="黑体"/>
          <w:b/>
          <w:bCs/>
          <w:sz w:val="44"/>
          <w:szCs w:val="44"/>
        </w:rPr>
      </w:pPr>
    </w:p>
    <w:p>
      <w:pPr>
        <w:jc w:val="cente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w:t>
      </w:r>
      <w:r>
        <w:rPr>
          <w:rFonts w:hint="eastAsia" w:ascii="黑体" w:hAnsi="黑体" w:eastAsia="黑体" w:cs="宋体"/>
          <w:b/>
          <w:bCs/>
          <w:kern w:val="0"/>
          <w:sz w:val="32"/>
          <w:szCs w:val="36"/>
        </w:rPr>
        <w:t>4年第</w:t>
      </w:r>
      <w:r>
        <w:rPr>
          <w:rFonts w:ascii="黑体" w:hAnsi="黑体" w:eastAsia="黑体" w:cs="宋体"/>
          <w:b/>
          <w:bCs/>
          <w:kern w:val="0"/>
          <w:sz w:val="32"/>
          <w:szCs w:val="36"/>
        </w:rPr>
        <w:t>5</w:t>
      </w:r>
      <w:r>
        <w:rPr>
          <w:rFonts w:hint="eastAsia" w:ascii="黑体" w:hAnsi="黑体" w:eastAsia="黑体" w:cs="宋体"/>
          <w:b/>
          <w:bCs/>
          <w:kern w:val="0"/>
          <w:sz w:val="32"/>
          <w:szCs w:val="36"/>
        </w:rPr>
        <w:t>期)——房屋赠与》</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《看案例 学法规》系列课程，是以消费者投诉房地产中介在提供服务过程中存在违法违规行为的案件为原型改编而成。</w:t>
      </w: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本课程通过案例分析解读相关政策法规，以期广大会员同行在为消费者提供中介服务时，诚信执业、规范操作，避免不必要的交易纠纷和行政处罚风险。</w:t>
      </w:r>
    </w:p>
    <w:p>
      <w:pPr>
        <w:jc w:val="center"/>
        <w:rPr>
          <w:rFonts w:ascii="仿宋_GB2312" w:eastAsia="仿宋_GB2312"/>
          <w:sz w:val="28"/>
          <w:szCs w:val="28"/>
        </w:rPr>
      </w:pPr>
      <w:r>
        <w:drawing>
          <wp:inline distT="0" distB="0" distL="0" distR="0">
            <wp:extent cx="4543425" cy="1733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543425" cy="1733550"/>
                    </a:xfrm>
                    <a:prstGeom prst="rect">
                      <a:avLst/>
                    </a:prstGeom>
                  </pic:spPr>
                </pic:pic>
              </a:graphicData>
            </a:graphic>
          </wp:inline>
        </w:drawing>
      </w:r>
      <w:r>
        <w:t xml:space="preserve"> </w:t>
      </w:r>
    </w:p>
    <w:p>
      <w:pPr>
        <w:jc w:val="left"/>
        <w:rPr>
          <w:rFonts w:ascii="仿宋_GB2312" w:hAnsi="宋体" w:eastAsia="仿宋_GB2312"/>
          <w:sz w:val="28"/>
          <w:szCs w:val="28"/>
          <w:lang w:bidi="ar"/>
        </w:rPr>
      </w:pPr>
      <w:r>
        <w:rPr>
          <w:rFonts w:hint="eastAsia" w:ascii="仿宋_GB2312" w:hAnsi="宋体" w:eastAsia="仿宋_GB2312"/>
          <w:b/>
          <w:sz w:val="28"/>
          <w:szCs w:val="28"/>
          <w:lang w:bidi="ar"/>
        </w:rPr>
        <w:t>讲师简介：</w:t>
      </w:r>
      <w:r>
        <w:rPr>
          <w:rFonts w:hint="eastAsia" w:ascii="仿宋_GB2312" w:hAnsi="宋体" w:eastAsia="仿宋_GB2312"/>
          <w:sz w:val="28"/>
          <w:szCs w:val="28"/>
          <w:lang w:bidi="ar"/>
        </w:rPr>
        <w:t>林嘉敏，现任职广州市房地产中介协会行业自律部副部长，负责处理二手房交易纠纷，熟悉房地产交易流程及相关法律法规。</w:t>
      </w:r>
    </w:p>
    <w:p>
      <w:pPr>
        <w:jc w:val="center"/>
        <w:rPr>
          <w:rFonts w:ascii="黑体" w:hAnsi="黑体" w:eastAsia="黑体" w:cs="宋体"/>
          <w:b/>
          <w:bCs/>
          <w:kern w:val="0"/>
          <w:sz w:val="32"/>
          <w:szCs w:val="36"/>
        </w:rPr>
      </w:pPr>
      <w:r>
        <w:rPr>
          <w:rFonts w:ascii="仿宋_GB2312" w:hAnsi="宋体" w:eastAsia="仿宋_GB2312"/>
          <w:sz w:val="28"/>
          <w:szCs w:val="28"/>
          <w:lang w:bidi="ar"/>
        </w:rPr>
        <w:br w:type="page"/>
      </w:r>
      <w:r>
        <w:rPr>
          <w:rFonts w:hint="eastAsia" w:ascii="黑体" w:hAnsi="黑体" w:eastAsia="黑体" w:cs="宋体"/>
          <w:b/>
          <w:bCs/>
          <w:kern w:val="0"/>
          <w:sz w:val="32"/>
          <w:szCs w:val="36"/>
        </w:rPr>
        <w:t>《契税热点问答》</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ind w:firstLine="570"/>
        <w:jc w:val="left"/>
        <w:rPr>
          <w:rFonts w:ascii="仿宋_GB2312" w:eastAsia="仿宋_GB2312"/>
          <w:sz w:val="28"/>
          <w:szCs w:val="28"/>
        </w:rPr>
      </w:pPr>
      <w:r>
        <w:rPr>
          <w:rFonts w:hint="eastAsia" w:ascii="仿宋_GB2312" w:eastAsia="仿宋_GB2312"/>
          <w:sz w:val="28"/>
          <w:szCs w:val="28"/>
        </w:rPr>
        <w:t>根据《中华人民共和国契税法》的规定:在中华人民共和国境内转移土地、房屋权属，承受的单位和个人为契税的纳税人，应当依照本法规定缴纳契税。本次课程汇集了一些契税热点问答，大家一起来学习吧！</w:t>
      </w:r>
    </w:p>
    <w:p>
      <w:r>
        <w:drawing>
          <wp:inline distT="0" distB="0" distL="0" distR="0">
            <wp:extent cx="4591050" cy="1771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591050" cy="17716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5DA75A08"/>
    <w:rsid w:val="5DA7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2024-07-01T02:31:00Z</dcterms:created>
  <dc:creator>协会宣传与信息部</dc:creator>
  <cp:lastModifiedBy>协会宣传与信息部</cp:lastModifiedBy>
  <dcterms:modified xsi:type="dcterms:W3CDTF">2024-07-01T02:31:19Z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D0341D0BB81F4DFD9820939C1F2FFDD6_11</vt:lpwstr>
  </property>
</Properties>
</file>